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693A2" w14:textId="11662060" w:rsidR="007006F3" w:rsidRDefault="007006F3" w:rsidP="007006F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</w:rPr>
        <w:t>Fi</w:t>
      </w:r>
      <w:r>
        <w:rPr>
          <w:rFonts w:ascii="Times New Roman" w:hAnsi="Times New Roman" w:cs="Times New Roman" w:hint="eastAsia"/>
          <w:b/>
          <w:bCs/>
        </w:rPr>
        <w:t>gure</w:t>
      </w:r>
      <w:r>
        <w:rPr>
          <w:rFonts w:ascii="Times New Roman" w:hAnsi="Times New Roman" w:cs="Times New Roman" w:hint="eastAsia"/>
          <w:b/>
          <w:bCs/>
        </w:rPr>
        <w:t xml:space="preserve"> </w:t>
      </w:r>
      <w:r>
        <w:rPr>
          <w:rFonts w:ascii="Times New Roman" w:hAnsi="Times New Roman" w:cs="Times New Roman" w:hint="eastAsia"/>
          <w:b/>
          <w:bCs/>
        </w:rPr>
        <w:t>S</w:t>
      </w:r>
      <w:r>
        <w:rPr>
          <w:rFonts w:ascii="Times New Roman" w:hAnsi="Times New Roman" w:cs="Times New Roman" w:hint="eastAsia"/>
          <w:b/>
          <w:bCs/>
        </w:rPr>
        <w:t>1</w:t>
      </w:r>
      <w:r>
        <w:rPr>
          <w:rFonts w:ascii="Times New Roman" w:hAnsi="Times New Roman" w:cs="Times New Roman" w:hint="eastAsia"/>
          <w:b/>
          <w:bCs/>
        </w:rPr>
        <w:t>:</w:t>
      </w:r>
      <w:r>
        <w:rPr>
          <w:rFonts w:ascii="Times New Roman" w:hAnsi="Times New Roman" w:cs="Times New Roman" w:hint="eastAsia"/>
          <w:sz w:val="22"/>
          <w:szCs w:val="22"/>
        </w:rPr>
        <w:t xml:space="preserve"> (</w:t>
      </w:r>
      <w:r w:rsidRPr="00823788">
        <w:rPr>
          <w:rFonts w:ascii="Times New Roman" w:hAnsi="Times New Roman" w:cs="Times New Roman"/>
          <w:b/>
          <w:bCs/>
          <w:sz w:val="22"/>
          <w:szCs w:val="22"/>
        </w:rPr>
        <w:t>A</w:t>
      </w:r>
      <w:r>
        <w:rPr>
          <w:rFonts w:ascii="Times New Roman" w:hAnsi="Times New Roman" w:cs="Times New Roman" w:hint="eastAsia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>Principal component analysis (PCA) and (</w:t>
      </w:r>
      <w:r w:rsidRPr="00823788">
        <w:rPr>
          <w:rFonts w:ascii="Times New Roman" w:hAnsi="Times New Roman" w:cs="Times New Roman" w:hint="eastAsia"/>
          <w:b/>
          <w:bCs/>
          <w:sz w:val="22"/>
          <w:szCs w:val="22"/>
        </w:rPr>
        <w:t>B</w:t>
      </w:r>
      <w:r>
        <w:rPr>
          <w:rFonts w:ascii="Times New Roman" w:hAnsi="Times New Roman" w:cs="Times New Roman"/>
          <w:sz w:val="22"/>
          <w:szCs w:val="22"/>
        </w:rPr>
        <w:t xml:space="preserve">) orthogonal partial least squares discriminate analysis (OPLS-DA) score plots of metabolic profiles in wild and cultivated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T.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cuspidata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31993642" w14:textId="77777777" w:rsidR="007006F3" w:rsidRDefault="007006F3" w:rsidP="007006F3">
      <w:pPr>
        <w:rPr>
          <w:rFonts w:ascii="Times New Roman" w:hAnsi="Times New Roman" w:cs="Times New Roman"/>
          <w:sz w:val="22"/>
          <w:szCs w:val="22"/>
        </w:rPr>
      </w:pPr>
    </w:p>
    <w:p w14:paraId="2D24575A" w14:textId="7A22500E" w:rsidR="007006F3" w:rsidRDefault="007006F3" w:rsidP="0082378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</w:rPr>
        <w:t>Fig</w:t>
      </w:r>
      <w:r>
        <w:rPr>
          <w:rFonts w:ascii="Times New Roman" w:hAnsi="Times New Roman" w:cs="Times New Roman" w:hint="eastAsia"/>
          <w:b/>
          <w:bCs/>
        </w:rPr>
        <w:t>ure</w:t>
      </w:r>
      <w:r>
        <w:rPr>
          <w:rFonts w:ascii="Times New Roman" w:hAnsi="Times New Roman" w:cs="Times New Roman" w:hint="eastAsia"/>
          <w:b/>
          <w:bCs/>
        </w:rPr>
        <w:t xml:space="preserve"> </w:t>
      </w:r>
      <w:r>
        <w:rPr>
          <w:rFonts w:ascii="Times New Roman" w:hAnsi="Times New Roman" w:cs="Times New Roman" w:hint="eastAsia"/>
          <w:b/>
          <w:bCs/>
        </w:rPr>
        <w:t>S</w:t>
      </w:r>
      <w:r>
        <w:rPr>
          <w:rFonts w:ascii="Times New Roman" w:hAnsi="Times New Roman" w:cs="Times New Roman" w:hint="eastAsia"/>
          <w:b/>
          <w:bCs/>
        </w:rPr>
        <w:t>2</w:t>
      </w:r>
      <w:r>
        <w:rPr>
          <w:rFonts w:ascii="Times New Roman" w:hAnsi="Times New Roman" w:cs="Times New Roman" w:hint="eastAsia"/>
          <w:b/>
          <w:bCs/>
        </w:rPr>
        <w:t>: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Transcriptome PCA analysis and differential gene analysis between wild and cultivated samples of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T.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cuspidata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 w:hint="eastAsia"/>
          <w:sz w:val="22"/>
          <w:szCs w:val="22"/>
        </w:rPr>
        <w:t>(</w:t>
      </w:r>
      <w:r w:rsidRPr="00823788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>
        <w:rPr>
          <w:rFonts w:ascii="Times New Roman" w:hAnsi="Times New Roman" w:cs="Times New Roman" w:hint="eastAsia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PCA analysis of the differential Transcriptome identified from wild and cultivated samples. </w:t>
      </w:r>
      <w:r>
        <w:rPr>
          <w:rFonts w:ascii="Times New Roman" w:hAnsi="Times New Roman" w:cs="Times New Roman" w:hint="eastAsia"/>
          <w:sz w:val="22"/>
          <w:szCs w:val="22"/>
        </w:rPr>
        <w:t>(</w:t>
      </w:r>
      <w:r w:rsidRPr="00823788">
        <w:rPr>
          <w:rFonts w:ascii="Times New Roman" w:hAnsi="Times New Roman" w:cs="Times New Roman" w:hint="eastAsia"/>
          <w:b/>
          <w:bCs/>
          <w:sz w:val="22"/>
          <w:szCs w:val="22"/>
        </w:rPr>
        <w:t>B</w:t>
      </w:r>
      <w:r>
        <w:rPr>
          <w:rFonts w:ascii="Times New Roman" w:hAnsi="Times New Roman" w:cs="Times New Roman" w:hint="eastAsia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Significant up- regulated versus significant down-regulated DEGs in the comparisons. </w:t>
      </w:r>
      <w:r>
        <w:rPr>
          <w:rFonts w:ascii="Times New Roman" w:hAnsi="Times New Roman" w:cs="Times New Roman" w:hint="eastAsia"/>
          <w:sz w:val="22"/>
          <w:szCs w:val="22"/>
        </w:rPr>
        <w:t>(</w:t>
      </w:r>
      <w:r w:rsidRPr="00823788">
        <w:rPr>
          <w:rFonts w:ascii="Times New Roman" w:hAnsi="Times New Roman" w:cs="Times New Roman" w:hint="eastAsia"/>
          <w:b/>
          <w:bCs/>
          <w:sz w:val="22"/>
          <w:szCs w:val="22"/>
        </w:rPr>
        <w:t>C</w:t>
      </w:r>
      <w:r>
        <w:rPr>
          <w:rFonts w:ascii="Times New Roman" w:hAnsi="Times New Roman" w:cs="Times New Roman" w:hint="eastAsia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Volcano plot of DEGs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for C vs W.</w:t>
      </w:r>
    </w:p>
    <w:p w14:paraId="6637E086" w14:textId="77777777" w:rsidR="007006F3" w:rsidRDefault="007006F3" w:rsidP="007006F3">
      <w:pPr>
        <w:rPr>
          <w:rFonts w:ascii="Times New Roman" w:hAnsi="Times New Roman" w:cs="Times New Roman"/>
          <w:sz w:val="22"/>
          <w:szCs w:val="22"/>
        </w:rPr>
      </w:pPr>
    </w:p>
    <w:p w14:paraId="7010D26C" w14:textId="1DCED2B7" w:rsidR="00505A18" w:rsidRPr="00823788" w:rsidRDefault="007006F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</w:rPr>
        <w:t>Fig</w:t>
      </w:r>
      <w:r>
        <w:rPr>
          <w:rFonts w:ascii="Times New Roman" w:hAnsi="Times New Roman" w:cs="Times New Roman" w:hint="eastAsia"/>
          <w:b/>
          <w:bCs/>
        </w:rPr>
        <w:t>ure</w:t>
      </w:r>
      <w:r>
        <w:rPr>
          <w:rFonts w:ascii="Times New Roman" w:hAnsi="Times New Roman" w:cs="Times New Roman" w:hint="eastAsia"/>
          <w:b/>
          <w:bCs/>
        </w:rPr>
        <w:t xml:space="preserve"> </w:t>
      </w:r>
      <w:r>
        <w:rPr>
          <w:rFonts w:ascii="Times New Roman" w:hAnsi="Times New Roman" w:cs="Times New Roman" w:hint="eastAsia"/>
          <w:b/>
          <w:bCs/>
        </w:rPr>
        <w:t>S</w:t>
      </w:r>
      <w:r>
        <w:rPr>
          <w:rFonts w:ascii="Times New Roman" w:hAnsi="Times New Roman" w:cs="Times New Roman" w:hint="eastAsia"/>
          <w:b/>
          <w:bCs/>
        </w:rPr>
        <w:t>3</w:t>
      </w:r>
      <w:r>
        <w:rPr>
          <w:rFonts w:ascii="Times New Roman" w:hAnsi="Times New Roman" w:cs="Times New Roman" w:hint="eastAsia"/>
          <w:b/>
          <w:bCs/>
        </w:rPr>
        <w:t>: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KEGG enrichment analysis of differentially expressed </w:t>
      </w:r>
      <w:r>
        <w:rPr>
          <w:rFonts w:ascii="Times New Roman" w:hAnsi="Times New Roman" w:cs="Times New Roman" w:hint="eastAsia"/>
          <w:sz w:val="22"/>
          <w:szCs w:val="22"/>
        </w:rPr>
        <w:t>gene</w:t>
      </w:r>
      <w:r>
        <w:rPr>
          <w:rFonts w:ascii="Times New Roman" w:hAnsi="Times New Roman" w:cs="Times New Roman"/>
          <w:sz w:val="22"/>
          <w:szCs w:val="22"/>
        </w:rPr>
        <w:t>s.</w:t>
      </w:r>
      <w:r>
        <w:rPr>
          <w:rFonts w:ascii="Times New Roman" w:hAnsi="Times New Roman" w:cs="Times New Roman" w:hint="eastAsia"/>
          <w:sz w:val="22"/>
          <w:szCs w:val="22"/>
        </w:rPr>
        <w:t xml:space="preserve"> (</w:t>
      </w:r>
      <w:r w:rsidRPr="00823788">
        <w:rPr>
          <w:rFonts w:ascii="Times New Roman" w:hAnsi="Times New Roman" w:cs="Times New Roman"/>
          <w:b/>
          <w:bCs/>
          <w:sz w:val="22"/>
          <w:szCs w:val="22"/>
        </w:rPr>
        <w:t>A</w:t>
      </w:r>
      <w:r>
        <w:rPr>
          <w:rFonts w:ascii="Times New Roman" w:hAnsi="Times New Roman" w:cs="Times New Roman" w:hint="eastAsia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U</w:t>
      </w:r>
      <w:r>
        <w:rPr>
          <w:rFonts w:ascii="Times New Roman" w:hAnsi="Times New Roman" w:cs="Times New Roman"/>
          <w:sz w:val="22"/>
          <w:szCs w:val="22"/>
        </w:rPr>
        <w:t>p-regulated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 w:hint="eastAsia"/>
          <w:sz w:val="22"/>
          <w:szCs w:val="22"/>
        </w:rPr>
        <w:t>(</w:t>
      </w:r>
      <w:r w:rsidRPr="00823788">
        <w:rPr>
          <w:rFonts w:ascii="Times New Roman" w:hAnsi="Times New Roman" w:cs="Times New Roman"/>
          <w:b/>
          <w:bCs/>
          <w:sz w:val="22"/>
          <w:szCs w:val="22"/>
        </w:rPr>
        <w:t>B</w:t>
      </w:r>
      <w:r>
        <w:rPr>
          <w:rFonts w:ascii="Times New Roman" w:hAnsi="Times New Roman" w:cs="Times New Roman" w:hint="eastAsia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</w:rPr>
        <w:t>own-regulated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sectPr w:rsidR="00505A18" w:rsidRPr="00823788" w:rsidSect="00827AF1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128428826">
    <w:abstractNumId w:val="3"/>
  </w:num>
  <w:num w:numId="2" w16cid:durableId="418257181">
    <w:abstractNumId w:val="0"/>
  </w:num>
  <w:num w:numId="3" w16cid:durableId="1295403094">
    <w:abstractNumId w:val="1"/>
  </w:num>
  <w:num w:numId="4" w16cid:durableId="452679232">
    <w:abstractNumId w:val="2"/>
  </w:num>
  <w:num w:numId="5" w16cid:durableId="243879889">
    <w:abstractNumId w:val="3"/>
  </w:num>
  <w:num w:numId="6" w16cid:durableId="139467072">
    <w:abstractNumId w:val="0"/>
  </w:num>
  <w:num w:numId="7" w16cid:durableId="460608717">
    <w:abstractNumId w:val="1"/>
  </w:num>
  <w:num w:numId="8" w16cid:durableId="229584140">
    <w:abstractNumId w:val="2"/>
  </w:num>
  <w:num w:numId="9" w16cid:durableId="532890381">
    <w:abstractNumId w:val="3"/>
  </w:num>
  <w:num w:numId="10" w16cid:durableId="1412922036">
    <w:abstractNumId w:val="0"/>
  </w:num>
  <w:num w:numId="11" w16cid:durableId="751119624">
    <w:abstractNumId w:val="1"/>
  </w:num>
  <w:num w:numId="12" w16cid:durableId="812261512">
    <w:abstractNumId w:val="2"/>
  </w:num>
  <w:num w:numId="13" w16cid:durableId="1314488163">
    <w:abstractNumId w:val="3"/>
  </w:num>
  <w:num w:numId="14" w16cid:durableId="998386508">
    <w:abstractNumId w:val="0"/>
  </w:num>
  <w:num w:numId="15" w16cid:durableId="796609206">
    <w:abstractNumId w:val="1"/>
  </w:num>
  <w:num w:numId="16" w16cid:durableId="1563567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6F3"/>
    <w:rsid w:val="0002335B"/>
    <w:rsid w:val="001D43CA"/>
    <w:rsid w:val="001F4A0E"/>
    <w:rsid w:val="00505A18"/>
    <w:rsid w:val="005325FE"/>
    <w:rsid w:val="006A535C"/>
    <w:rsid w:val="007006F3"/>
    <w:rsid w:val="0073046A"/>
    <w:rsid w:val="007F79FA"/>
    <w:rsid w:val="00823788"/>
    <w:rsid w:val="00827AF1"/>
    <w:rsid w:val="00D96355"/>
    <w:rsid w:val="00ED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35775"/>
  <w15:chartTrackingRefBased/>
  <w15:docId w15:val="{2FD0D194-3A7D-410B-9ED2-F934CB6E5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6F3"/>
    <w:pPr>
      <w:widowControl w:val="0"/>
      <w:spacing w:after="0" w:line="240" w:lineRule="auto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06F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6F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06F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06F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06F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06F3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06F3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06F3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06F3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SP11articletype">
    <w:name w:val="TSP_1.1_article_type"/>
    <w:next w:val="a"/>
    <w:qFormat/>
    <w:rsid w:val="001D43CA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a"/>
    <w:qFormat/>
    <w:rsid w:val="001D43CA"/>
    <w:pPr>
      <w:widowControl/>
      <w:spacing w:after="240" w:line="60" w:lineRule="atLeast"/>
      <w:jc w:val="left"/>
    </w:pPr>
    <w:rPr>
      <w:rFonts w:ascii="Minion Pro" w:hAnsi="Minion Pro" w:cs="Times New Roman"/>
      <w:color w:val="000000"/>
      <w:sz w:val="14"/>
      <w:szCs w:val="20"/>
      <w14:ligatures w14:val="standardContextual"/>
    </w:rPr>
  </w:style>
  <w:style w:type="paragraph" w:customStyle="1" w:styleId="TSP12title">
    <w:name w:val="TSP_1.2_title"/>
    <w:next w:val="a"/>
    <w:qFormat/>
    <w:rsid w:val="001D43CA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a"/>
    <w:qFormat/>
    <w:rsid w:val="001D43CA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a"/>
    <w:next w:val="a"/>
    <w:autoRedefine/>
    <w:qFormat/>
    <w:rsid w:val="001D43CA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1D43CA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1D43CA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a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a"/>
    <w:qFormat/>
    <w:rsid w:val="001D43CA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1D43CA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1D43CA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1D43CA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1D43CA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1D43CA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1D43CA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1D43CA"/>
    <w:pPr>
      <w:ind w:firstLine="0"/>
    </w:pPr>
  </w:style>
  <w:style w:type="paragraph" w:customStyle="1" w:styleId="TSP33textspaceafter">
    <w:name w:val="TSP_3.3_text_space_after"/>
    <w:qFormat/>
    <w:rsid w:val="001D43CA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1D43CA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1D43CA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1D43CA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1D43CA"/>
    <w:pPr>
      <w:numPr>
        <w:numId w:val="13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1D43CA"/>
    <w:pPr>
      <w:numPr>
        <w:numId w:val="14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1D43CA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1D43CA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1D43CA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</w:rPr>
  </w:style>
  <w:style w:type="paragraph" w:customStyle="1" w:styleId="TSP41tablecaption">
    <w:name w:val="TSP_4.1_table_caption"/>
    <w:qFormat/>
    <w:rsid w:val="001D43CA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1D43CA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1D43CA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1D43CA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</w:rPr>
  </w:style>
  <w:style w:type="paragraph" w:customStyle="1" w:styleId="TSP51figurecaption">
    <w:name w:val="TSP_5.1_figure_caption"/>
    <w:qFormat/>
    <w:rsid w:val="001D43CA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1D43CA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1D43CA"/>
    <w:pPr>
      <w:adjustRightInd w:val="0"/>
      <w:snapToGrid w:val="0"/>
      <w:spacing w:after="0" w:line="240" w:lineRule="atLeast"/>
    </w:pPr>
    <w:rPr>
      <w:rFonts w:ascii="Minion Pro" w:eastAsia="宋体" w:hAnsi="Minion Pro" w:cs="Cordia New"/>
    </w:rPr>
  </w:style>
  <w:style w:type="paragraph" w:customStyle="1" w:styleId="TSP62BackMatter">
    <w:name w:val="TSP_6.2_BackMatter"/>
    <w:qFormat/>
    <w:rsid w:val="001D43CA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</w:rPr>
  </w:style>
  <w:style w:type="paragraph" w:customStyle="1" w:styleId="TSP63Notes">
    <w:name w:val="TSP_6.3_Notes"/>
    <w:qFormat/>
    <w:rsid w:val="001D43CA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1D43CA"/>
    <w:pPr>
      <w:numPr>
        <w:numId w:val="15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</w:rPr>
  </w:style>
  <w:style w:type="paragraph" w:customStyle="1" w:styleId="TSP71References">
    <w:name w:val="TSP_7.1_References"/>
    <w:qFormat/>
    <w:rsid w:val="001D43CA"/>
    <w:pPr>
      <w:numPr>
        <w:numId w:val="16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1D43CA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1D43CA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1D43CA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1D43CA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1D43CA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1D43CA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1D43CA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1D43CA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1D43CA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1D43CA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character" w:customStyle="1" w:styleId="apple-converted-space">
    <w:name w:val="apple-converted-space"/>
    <w:rsid w:val="001D43CA"/>
  </w:style>
  <w:style w:type="paragraph" w:customStyle="1" w:styleId="keyword">
    <w:name w:val="keyword"/>
    <w:basedOn w:val="a"/>
    <w:qFormat/>
    <w:rsid w:val="001D43CA"/>
    <w:pPr>
      <w:widowControl/>
      <w:spacing w:before="280" w:line="260" w:lineRule="atLeast"/>
    </w:pPr>
    <w:rPr>
      <w:rFonts w:ascii="Palatino Linotype" w:hAnsi="Palatino Linotype" w:cs="Times New Roman"/>
      <w:color w:val="000000"/>
      <w:sz w:val="20"/>
      <w:szCs w:val="20"/>
      <w14:ligatures w14:val="standardContextual"/>
    </w:rPr>
  </w:style>
  <w:style w:type="paragraph" w:customStyle="1" w:styleId="MsoFootnoteText0">
    <w:name w:val="MsoFootnoteText"/>
    <w:basedOn w:val="a3"/>
    <w:qFormat/>
    <w:rsid w:val="001D43CA"/>
    <w:pPr>
      <w:widowControl/>
      <w:spacing w:after="0" w:line="260" w:lineRule="atLeast"/>
    </w:pPr>
    <w:rPr>
      <w:rFonts w:ascii="Minion Pro" w:eastAsia="宋体" w:hAnsi="Minion Pro"/>
      <w:noProof/>
      <w:color w:val="000000"/>
      <w:sz w:val="20"/>
    </w:rPr>
  </w:style>
  <w:style w:type="paragraph" w:styleId="a3">
    <w:name w:val="Normal (Web)"/>
    <w:basedOn w:val="a"/>
    <w:uiPriority w:val="99"/>
    <w:semiHidden/>
    <w:unhideWhenUsed/>
    <w:rsid w:val="001D43CA"/>
    <w:pPr>
      <w:spacing w:after="160" w:line="259" w:lineRule="auto"/>
    </w:pPr>
    <w:rPr>
      <w:rFonts w:ascii="Times New Roman" w:hAnsi="Times New Roman" w:cs="Times New Roman"/>
      <w:kern w:val="0"/>
      <w:sz w:val="24"/>
    </w:rPr>
  </w:style>
  <w:style w:type="character" w:customStyle="1" w:styleId="10">
    <w:name w:val="标题 1 字符"/>
    <w:basedOn w:val="a0"/>
    <w:link w:val="1"/>
    <w:uiPriority w:val="9"/>
    <w:rsid w:val="007006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7006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7006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7006F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7006F3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7006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7006F3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006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7006F3"/>
    <w:rPr>
      <w:rFonts w:eastAsiaTheme="majorEastAsia" w:cstheme="majorBidi"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7006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0"/>
    <w:link w:val="a4"/>
    <w:uiPriority w:val="10"/>
    <w:rsid w:val="007006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7006F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character" w:customStyle="1" w:styleId="a7">
    <w:name w:val="副标题 字符"/>
    <w:basedOn w:val="a0"/>
    <w:link w:val="a6"/>
    <w:uiPriority w:val="11"/>
    <w:rsid w:val="007006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7006F3"/>
    <w:pPr>
      <w:spacing w:before="160" w:after="160" w:line="259" w:lineRule="auto"/>
      <w:jc w:val="center"/>
    </w:pPr>
    <w:rPr>
      <w:i/>
      <w:iCs/>
      <w:color w:val="404040" w:themeColor="text1" w:themeTint="BF"/>
      <w:kern w:val="0"/>
      <w:sz w:val="22"/>
      <w:szCs w:val="22"/>
    </w:rPr>
  </w:style>
  <w:style w:type="character" w:customStyle="1" w:styleId="a9">
    <w:name w:val="引用 字符"/>
    <w:basedOn w:val="a0"/>
    <w:link w:val="a8"/>
    <w:uiPriority w:val="29"/>
    <w:rsid w:val="007006F3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7006F3"/>
    <w:pPr>
      <w:spacing w:after="160" w:line="259" w:lineRule="auto"/>
      <w:ind w:left="720"/>
      <w:contextualSpacing/>
    </w:pPr>
    <w:rPr>
      <w:kern w:val="0"/>
      <w:sz w:val="22"/>
      <w:szCs w:val="22"/>
    </w:rPr>
  </w:style>
  <w:style w:type="character" w:styleId="ab">
    <w:name w:val="Intense Emphasis"/>
    <w:basedOn w:val="a0"/>
    <w:uiPriority w:val="21"/>
    <w:qFormat/>
    <w:rsid w:val="007006F3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7006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0"/>
      <w:sz w:val="22"/>
      <w:szCs w:val="22"/>
    </w:rPr>
  </w:style>
  <w:style w:type="character" w:customStyle="1" w:styleId="ad">
    <w:name w:val="明显引用 字符"/>
    <w:basedOn w:val="a0"/>
    <w:link w:val="ac"/>
    <w:uiPriority w:val="30"/>
    <w:rsid w:val="007006F3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7006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2025-03-24T03:27:00Z</dcterms:created>
  <dcterms:modified xsi:type="dcterms:W3CDTF">2025-03-24T03:29:00Z</dcterms:modified>
</cp:coreProperties>
</file>